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8" w:rsidRDefault="00D01498" w:rsidP="00DC2DB5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United States History</w:t>
      </w:r>
    </w:p>
    <w:p w:rsidR="00D01498" w:rsidRDefault="00D01498" w:rsidP="00DC2DB5">
      <w:pPr>
        <w:contextualSpacing/>
        <w:rPr>
          <w:sz w:val="24"/>
          <w:szCs w:val="24"/>
        </w:rPr>
      </w:pPr>
      <w:r>
        <w:rPr>
          <w:sz w:val="24"/>
          <w:szCs w:val="24"/>
        </w:rPr>
        <w:t>Mrs. Stafstrom</w:t>
      </w:r>
    </w:p>
    <w:p w:rsidR="00D01498" w:rsidRDefault="00D01498" w:rsidP="00D01498">
      <w:pPr>
        <w:jc w:val="center"/>
        <w:rPr>
          <w:b/>
          <w:sz w:val="24"/>
          <w:szCs w:val="24"/>
        </w:rPr>
      </w:pPr>
      <w:r w:rsidRPr="00D01498">
        <w:rPr>
          <w:b/>
          <w:sz w:val="24"/>
          <w:szCs w:val="24"/>
        </w:rPr>
        <w:t>Reconstruction:  Readings and Questions</w:t>
      </w:r>
    </w:p>
    <w:p w:rsidR="00D01498" w:rsidRDefault="00D01498" w:rsidP="00E22273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 the following activities in class today; they will prepare you for the part of tomorrow’s test that addresses Reconstruction.  Use your textbook and my brief notes to help you.</w:t>
      </w:r>
      <w:r w:rsidR="00E22273">
        <w:rPr>
          <w:sz w:val="24"/>
          <w:szCs w:val="24"/>
        </w:rPr>
        <w:t xml:space="preserve">  </w:t>
      </w:r>
      <w:r>
        <w:rPr>
          <w:sz w:val="24"/>
          <w:szCs w:val="24"/>
        </w:rPr>
        <w:t>As you answer your questions, make sure to use the following vocabulary, as applicable, in your answers.</w:t>
      </w:r>
      <w:r w:rsidR="00BF76A3">
        <w:rPr>
          <w:sz w:val="24"/>
          <w:szCs w:val="24"/>
        </w:rPr>
        <w:t xml:space="preserve"> Answer on a separate piece of paper</w:t>
      </w: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  <w:sectPr w:rsidR="00E222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13</w:t>
      </w:r>
      <w:r w:rsidRPr="00E22273">
        <w:rPr>
          <w:rFonts w:eastAsia="Times New Roman"/>
          <w:sz w:val="20"/>
          <w:szCs w:val="20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Amendment</w:t>
      </w: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  <w:r w:rsidRPr="00E22273">
        <w:rPr>
          <w:rFonts w:eastAsia="Times New Roman"/>
          <w:sz w:val="20"/>
          <w:szCs w:val="20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Amendment</w:t>
      </w: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  <w:r w:rsidRPr="00E22273">
        <w:rPr>
          <w:rFonts w:eastAsia="Times New Roman"/>
          <w:sz w:val="20"/>
          <w:szCs w:val="20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Amendment</w:t>
      </w:r>
    </w:p>
    <w:p w:rsidR="003A29B9" w:rsidRDefault="003A29B9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Freedmen</w:t>
      </w: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franchise</w:t>
      </w:r>
      <w:proofErr w:type="gramEnd"/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Freedman’s Bureau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Radical Republicans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Thaddeus Stevens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President </w:t>
      </w:r>
      <w:r w:rsidRPr="005F2D87">
        <w:rPr>
          <w:rFonts w:eastAsia="Times New Roman"/>
          <w:sz w:val="20"/>
          <w:szCs w:val="20"/>
        </w:rPr>
        <w:t xml:space="preserve">Andrew Johnson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lastRenderedPageBreak/>
        <w:t xml:space="preserve">Compromise of 1877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Scalawags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Carpetbaggers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Black Codes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Ku Klux Klan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Sharecroppers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Jim Crow Laws </w:t>
      </w:r>
    </w:p>
    <w:p w:rsidR="00E22273" w:rsidRDefault="00E22273" w:rsidP="00E22273">
      <w:pPr>
        <w:contextualSpacing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redemption</w:t>
      </w:r>
      <w:proofErr w:type="gramEnd"/>
      <w:r w:rsidRPr="005F2D87">
        <w:rPr>
          <w:rFonts w:eastAsia="Times New Roman"/>
          <w:sz w:val="20"/>
          <w:szCs w:val="20"/>
        </w:rPr>
        <w:t xml:space="preserve"> </w:t>
      </w:r>
    </w:p>
    <w:p w:rsidR="00E22273" w:rsidRPr="005F2D87" w:rsidRDefault="00E22273" w:rsidP="00E22273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President Grant</w:t>
      </w:r>
    </w:p>
    <w:p w:rsidR="00E22273" w:rsidRDefault="00E22273" w:rsidP="00E22273">
      <w:pPr>
        <w:contextualSpacing/>
        <w:rPr>
          <w:b/>
          <w:sz w:val="20"/>
          <w:szCs w:val="20"/>
        </w:rPr>
        <w:sectPr w:rsidR="00E22273" w:rsidSect="00E222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1498" w:rsidRDefault="00D01498" w:rsidP="00BF76A3">
      <w:pPr>
        <w:rPr>
          <w:sz w:val="24"/>
          <w:szCs w:val="24"/>
        </w:rPr>
      </w:pPr>
    </w:p>
    <w:p w:rsidR="00D01498" w:rsidRDefault="00D01498" w:rsidP="00D014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Lincoln’s attitude towards Reconstruction and identify specific actions he took to put into place his ideas for Reconstruction.</w:t>
      </w:r>
    </w:p>
    <w:p w:rsidR="00BF76A3" w:rsidRDefault="00BF76A3" w:rsidP="00BF76A3">
      <w:pPr>
        <w:pStyle w:val="ListParagraph"/>
        <w:rPr>
          <w:sz w:val="24"/>
          <w:szCs w:val="24"/>
        </w:rPr>
      </w:pPr>
    </w:p>
    <w:p w:rsidR="00E22273" w:rsidRDefault="00E22273" w:rsidP="00D014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were the Radical Republicans and what were their plans for Reconstruction?</w:t>
      </w:r>
    </w:p>
    <w:p w:rsidR="00BF76A3" w:rsidRDefault="00BF76A3" w:rsidP="00BF76A3">
      <w:pPr>
        <w:pStyle w:val="ListParagraph"/>
        <w:rPr>
          <w:sz w:val="24"/>
          <w:szCs w:val="24"/>
        </w:rPr>
      </w:pPr>
    </w:p>
    <w:p w:rsidR="00571C8D" w:rsidRPr="00DC2DB5" w:rsidRDefault="00571C8D" w:rsidP="00DC2D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273">
        <w:rPr>
          <w:sz w:val="24"/>
          <w:szCs w:val="24"/>
        </w:rPr>
        <w:t xml:space="preserve">Re-read </w:t>
      </w:r>
      <w:r w:rsidRPr="00E22273">
        <w:rPr>
          <w:i/>
          <w:sz w:val="24"/>
          <w:szCs w:val="24"/>
        </w:rPr>
        <w:t>More Intolerable than Slavery</w:t>
      </w:r>
      <w:r w:rsidRPr="00E22273">
        <w:rPr>
          <w:sz w:val="24"/>
          <w:szCs w:val="24"/>
        </w:rPr>
        <w:t xml:space="preserve"> and answer the following prompt</w:t>
      </w:r>
      <w:r w:rsidR="006260ED" w:rsidRPr="00E22273">
        <w:rPr>
          <w:sz w:val="24"/>
          <w:szCs w:val="24"/>
        </w:rPr>
        <w:t>s</w:t>
      </w:r>
      <w:r w:rsidR="00DC2DB5">
        <w:rPr>
          <w:sz w:val="24"/>
          <w:szCs w:val="24"/>
        </w:rPr>
        <w:t>.  At the end of the</w:t>
      </w:r>
      <w:r w:rsidRPr="00DC2DB5">
        <w:rPr>
          <w:sz w:val="24"/>
          <w:szCs w:val="24"/>
        </w:rPr>
        <w:t xml:space="preserve"> public address written by southern blacks in Virginia just after the Civil War, the authors state, “We warn you that our only safety is in keeping them under Governors [</w:t>
      </w:r>
      <w:r w:rsidR="006260ED" w:rsidRPr="00DC2DB5">
        <w:rPr>
          <w:sz w:val="24"/>
          <w:szCs w:val="24"/>
        </w:rPr>
        <w:t>of former Confederate states</w:t>
      </w:r>
      <w:r w:rsidRPr="00DC2DB5">
        <w:rPr>
          <w:sz w:val="24"/>
          <w:szCs w:val="24"/>
        </w:rPr>
        <w:t xml:space="preserve">] of the </w:t>
      </w:r>
      <w:r w:rsidRPr="00DC2DB5">
        <w:rPr>
          <w:i/>
          <w:sz w:val="24"/>
          <w:szCs w:val="24"/>
        </w:rPr>
        <w:t>military persuasion</w:t>
      </w:r>
      <w:r w:rsidRPr="00DC2DB5">
        <w:rPr>
          <w:sz w:val="24"/>
          <w:szCs w:val="24"/>
        </w:rPr>
        <w:t xml:space="preserve"> until you have so amended th</w:t>
      </w:r>
      <w:r w:rsidR="006260ED" w:rsidRPr="00DC2DB5">
        <w:rPr>
          <w:sz w:val="24"/>
          <w:szCs w:val="24"/>
        </w:rPr>
        <w:t xml:space="preserve">e Federal Constitution that it </w:t>
      </w:r>
      <w:r w:rsidRPr="00DC2DB5">
        <w:rPr>
          <w:sz w:val="24"/>
          <w:szCs w:val="24"/>
        </w:rPr>
        <w:t>will prohibit the States from making any distinction between citizens on account of race.”</w:t>
      </w:r>
    </w:p>
    <w:p w:rsidR="00BF76A3" w:rsidRPr="00BF76A3" w:rsidRDefault="00571C8D" w:rsidP="00BF76A3">
      <w:pPr>
        <w:pStyle w:val="ListParagraph"/>
        <w:numPr>
          <w:ilvl w:val="1"/>
          <w:numId w:val="2"/>
        </w:numPr>
        <w:tabs>
          <w:tab w:val="left" w:pos="2250"/>
        </w:tabs>
        <w:rPr>
          <w:sz w:val="24"/>
          <w:szCs w:val="24"/>
        </w:rPr>
      </w:pPr>
      <w:r w:rsidRPr="00BF76A3">
        <w:rPr>
          <w:sz w:val="24"/>
          <w:szCs w:val="24"/>
        </w:rPr>
        <w:t xml:space="preserve">What do the authors want with this warning AND what reasons do they give for their point of view? </w:t>
      </w:r>
    </w:p>
    <w:p w:rsidR="00BF76A3" w:rsidRDefault="00571C8D" w:rsidP="00DC2DB5">
      <w:pPr>
        <w:pStyle w:val="ListParagraph"/>
        <w:numPr>
          <w:ilvl w:val="1"/>
          <w:numId w:val="2"/>
        </w:numPr>
        <w:tabs>
          <w:tab w:val="left" w:pos="2250"/>
        </w:tabs>
        <w:rPr>
          <w:sz w:val="24"/>
          <w:szCs w:val="24"/>
        </w:rPr>
      </w:pPr>
      <w:r w:rsidRPr="00BF76A3">
        <w:rPr>
          <w:sz w:val="24"/>
          <w:szCs w:val="24"/>
        </w:rPr>
        <w:t xml:space="preserve"> </w:t>
      </w:r>
      <w:r w:rsidR="00E22273" w:rsidRPr="00BF76A3">
        <w:rPr>
          <w:sz w:val="24"/>
          <w:szCs w:val="24"/>
        </w:rPr>
        <w:t xml:space="preserve">What specific events and factors occur during Reconstruction that </w:t>
      </w:r>
      <w:proofErr w:type="gramStart"/>
      <w:r w:rsidR="00E22273" w:rsidRPr="00BF76A3">
        <w:rPr>
          <w:sz w:val="24"/>
          <w:szCs w:val="24"/>
        </w:rPr>
        <w:t>support</w:t>
      </w:r>
      <w:proofErr w:type="gramEnd"/>
      <w:r w:rsidR="00E22273" w:rsidRPr="00BF76A3">
        <w:rPr>
          <w:sz w:val="24"/>
          <w:szCs w:val="24"/>
        </w:rPr>
        <w:t xml:space="preserve"> the authors’ fears?</w:t>
      </w:r>
    </w:p>
    <w:p w:rsidR="00DC2DB5" w:rsidRPr="00DC2DB5" w:rsidRDefault="00DC2DB5" w:rsidP="00DC2DB5">
      <w:pPr>
        <w:pStyle w:val="ListParagraph"/>
        <w:tabs>
          <w:tab w:val="left" w:pos="2250"/>
        </w:tabs>
        <w:ind w:left="1440"/>
        <w:rPr>
          <w:sz w:val="24"/>
          <w:szCs w:val="24"/>
        </w:rPr>
      </w:pPr>
    </w:p>
    <w:p w:rsidR="00A973A1" w:rsidRPr="00DC2DB5" w:rsidRDefault="00BF76A3" w:rsidP="00DC2DB5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How did the 14</w:t>
      </w:r>
      <w:r w:rsidRPr="00BF76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BF76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 help the Freedmen?</w:t>
      </w:r>
    </w:p>
    <w:p w:rsidR="00A973A1" w:rsidRDefault="00A973A1" w:rsidP="00A973A1">
      <w:pPr>
        <w:pStyle w:val="ListParagraph"/>
        <w:tabs>
          <w:tab w:val="left" w:pos="2250"/>
        </w:tabs>
        <w:rPr>
          <w:sz w:val="24"/>
          <w:szCs w:val="24"/>
        </w:rPr>
      </w:pPr>
    </w:p>
    <w:p w:rsidR="00BF76A3" w:rsidRDefault="00A973A1" w:rsidP="00A973A1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Explain why the Republicans wanted to give black males the right to vote.</w:t>
      </w:r>
    </w:p>
    <w:p w:rsidR="00DC2DB5" w:rsidRPr="00A973A1" w:rsidRDefault="00DC2DB5" w:rsidP="00DC2DB5">
      <w:pPr>
        <w:pStyle w:val="ListParagraph"/>
        <w:tabs>
          <w:tab w:val="left" w:pos="2250"/>
        </w:tabs>
        <w:rPr>
          <w:sz w:val="24"/>
          <w:szCs w:val="24"/>
        </w:rPr>
      </w:pPr>
    </w:p>
    <w:p w:rsidR="00BF76A3" w:rsidRDefault="00BF76A3" w:rsidP="00BF76A3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How did Reconstruction end and what factors weakened Northern support for the Freedmen?</w:t>
      </w:r>
    </w:p>
    <w:p w:rsidR="00DC2DB5" w:rsidRDefault="00DC2DB5" w:rsidP="00DC2DB5">
      <w:pPr>
        <w:pStyle w:val="ListParagraph"/>
        <w:tabs>
          <w:tab w:val="left" w:pos="2250"/>
        </w:tabs>
        <w:rPr>
          <w:sz w:val="24"/>
          <w:szCs w:val="24"/>
        </w:rPr>
      </w:pPr>
    </w:p>
    <w:p w:rsidR="00DC2DB5" w:rsidRPr="00DC2DB5" w:rsidRDefault="00A973A1" w:rsidP="00BF76A3">
      <w:pPr>
        <w:pStyle w:val="ListParagraph"/>
        <w:numPr>
          <w:ilvl w:val="0"/>
          <w:numId w:val="2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Describe the following political cartoon </w:t>
      </w:r>
      <w:r w:rsidR="00DC2DB5">
        <w:rPr>
          <w:sz w:val="24"/>
          <w:szCs w:val="24"/>
        </w:rPr>
        <w:t xml:space="preserve">(1874) </w:t>
      </w:r>
      <w:r>
        <w:rPr>
          <w:sz w:val="24"/>
          <w:szCs w:val="24"/>
        </w:rPr>
        <w:t>and explain what it says about Reconstruction.  What is its point of view?</w:t>
      </w:r>
      <w:r w:rsidR="00DC2DB5" w:rsidRPr="00DC2DB5">
        <w:rPr>
          <w:noProof/>
        </w:rPr>
        <w:t xml:space="preserve"> </w:t>
      </w:r>
    </w:p>
    <w:p w:rsidR="00BF76A3" w:rsidRDefault="00DC2DB5" w:rsidP="00DC2DB5">
      <w:pPr>
        <w:pStyle w:val="ListParagraph"/>
        <w:tabs>
          <w:tab w:val="left" w:pos="225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01AB234C" wp14:editId="1D75BF8D">
            <wp:extent cx="6444350" cy="6936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448" cy="6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B5" w:rsidRPr="00DC2DB5" w:rsidRDefault="00DC2DB5" w:rsidP="00DC2DB5">
      <w:pPr>
        <w:tabs>
          <w:tab w:val="left" w:pos="2250"/>
        </w:tabs>
        <w:rPr>
          <w:sz w:val="24"/>
          <w:szCs w:val="24"/>
        </w:rPr>
      </w:pPr>
    </w:p>
    <w:sectPr w:rsidR="00DC2DB5" w:rsidRPr="00DC2DB5" w:rsidSect="00E22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C4"/>
    <w:multiLevelType w:val="hybridMultilevel"/>
    <w:tmpl w:val="1CF2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7EB"/>
    <w:multiLevelType w:val="hybridMultilevel"/>
    <w:tmpl w:val="9D78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7058"/>
    <w:multiLevelType w:val="hybridMultilevel"/>
    <w:tmpl w:val="7D1C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8D"/>
    <w:rsid w:val="003A29B9"/>
    <w:rsid w:val="00571C8D"/>
    <w:rsid w:val="005C24A5"/>
    <w:rsid w:val="006260ED"/>
    <w:rsid w:val="00A973A1"/>
    <w:rsid w:val="00BF76A3"/>
    <w:rsid w:val="00D01498"/>
    <w:rsid w:val="00D107A0"/>
    <w:rsid w:val="00DC2DB5"/>
    <w:rsid w:val="00E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2013-01-09T13:35:00Z</cp:lastPrinted>
  <dcterms:created xsi:type="dcterms:W3CDTF">2014-11-11T20:34:00Z</dcterms:created>
  <dcterms:modified xsi:type="dcterms:W3CDTF">2014-11-11T20:34:00Z</dcterms:modified>
</cp:coreProperties>
</file>